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新</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药</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申报材料目录及要求</w:t>
      </w:r>
    </w:p>
    <w:p>
      <w:pPr>
        <w:keepNext w:val="0"/>
        <w:keepLines w:val="0"/>
        <w:pageBreakBefore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《清远市第三人民医院药品引进申请表》（附件3）。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药品生产及经营企业的药品生产许可证、营业执照、药品GMP证书、注册商标证（可为复印件，须清晰并加盖生产企业鲜章）。</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药品注册证（药品注册证过期须提供有效期内的药品再注册批件，有变更事宜需提交药品补充申请批件）。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药品使用说明书及其电子文档。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质量标准及省市以上药检所出具的药品检验报告书。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药品集团采购平台挂网的相关信息，包括药品价格。（可为平台截图，需看产品ID,否则视为非挂网产品）。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7.其他证明材料：包括</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医保药物、国家基本药物、原研药、国家谈判药物、集中带量采购药物、新药、专利药、儿童用药、通过仿制药一致性评价等，请提供证明材料。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8.</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临床应用资料、临床前及临床药理、药代、毒理、药品不良反应及配伍禁忌等资料。中药保护品种的要提供证书复印件和专业期刊发表的临床研究报告等。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清远市第三人民医院药品引进申请企业相关人员廉洁协议（附件4）。</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10.承诺书（附件5）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药品生产企业盖章的委托函。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产品介绍不超过5张的PPT，内容重点说明申请理由，申请药品在疗效、安全性、性价比等方面与我院现有药品的区别，该品种有何优势。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bookmarkStart w:id="0" w:name="_GoBack"/>
      <w:bookmarkEnd w:id="0"/>
      <w:r>
        <w:rPr>
          <w:rFonts w:hint="eastAsia" w:ascii="黑体" w:hAnsi="黑体" w:eastAsia="黑体" w:cs="黑体"/>
          <w:b w:val="0"/>
          <w:bCs w:val="0"/>
          <w:color w:val="000000" w:themeColor="text1"/>
          <w:sz w:val="32"/>
          <w:szCs w:val="32"/>
          <w:lang w:val="en-US" w:eastAsia="zh-CN"/>
          <w14:textFill>
            <w14:solidFill>
              <w14:schemeClr w14:val="tx1"/>
            </w14:solidFill>
          </w14:textFill>
        </w:rPr>
        <w:t>资料及要求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1.申报企业请按《新药申报资料目录》（见附件2）要求，真实、准确、规范地填写申报相关资料并加盖公司鲜章，否则将按无效资料处理。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2.申报资料只接受电子文档，请将申报资料扫描为规范的PDF文件后，按照《新药申报材料目录及要求》（附件2）中目录顺序排版整理，纸质文件于接待日当天接收。电子档资料通过电子邮件发送到电子邮箱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instrText xml:space="preserve"> HYPERLINK "mailto:qysdsrmyyywk@126.com" </w:instrTex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qysdsrmyyywk@126.com</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，邮件名称以“药品分类-药品通用名”格式命名，邮件内附件以“资料序号-药品分类-药品通用名-附件名称”命名；（例：1-抗抑郁药物-氟伏沙明-清远市第三人民医院药品引进申请表）。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3.请将申报资料一次性交齐，避免重复提交，如同一药品提交多次，以最后一次发送的邮件资料为准，并在最后一次发送邮件时注明情况，以免漏收。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4.请申报单位注意申报资料的真实性和准确性，所有内容应按模板格式填写完整，申报资料一旦上传不再接受更改。凡填写错误、不全或填写不符合规范者，将视为无效申报。</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TUxYzcwMjQ1OTUwNzkzYTQzZmExNTQ2OGM1ZjIifQ=="/>
  </w:docVars>
  <w:rsids>
    <w:rsidRoot w:val="00000000"/>
    <w:rsid w:val="06A4058D"/>
    <w:rsid w:val="1AE735AE"/>
    <w:rsid w:val="35D33907"/>
    <w:rsid w:val="60675D31"/>
    <w:rsid w:val="63AF0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2024-02-21T07:36:00Z</dcterms:created>
  <dc:creator>Administrator</dc:creator>
  <cp:lastModifiedBy>邓爱萍</cp:lastModifiedBy>
  <dcterms:modified xsi:type="dcterms:W3CDTF">2024-03-01T07:04:46Z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7F8F36ED7D5D489A8B64C1D97F5769C1_12</vt:lpwstr>
  </property>
</Properties>
</file>