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清远市第三人民医院</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新</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药</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0" w:name="_GoBack"/>
      <w:bookmarkEnd w:id="0"/>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目录及要求</w:t>
      </w:r>
    </w:p>
    <w:p>
      <w:pPr>
        <w:keepNext w:val="0"/>
        <w:keepLines w:val="0"/>
        <w:pageBreakBefore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sz w:val="32"/>
          <w:szCs w:val="32"/>
          <w:lang w:val="en-US" w:eastAsia="zh-CN"/>
        </w:rPr>
        <w:t>医药代表需递交的资料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（一）目录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1.清远市第三人民医院药品、器械代表接待日报名表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清远市第三人民医院药品引进申请表（附件3）;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药品生产及经营企业的药品生产许可证、营业执照、药品GMP证书、注册商标证（可为复印件，须清晰并加盖生产企业公章）;</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药品注册证（药品注册证过期须提供有效期内的药品再注册批件，有变更事宜需提交药品补充申请批件）;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药品使用说明书及其电子文档;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质量标准及省市以上药检所出具的药品检验报告书。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药品集团采购平台挂网的相关信息，包括药品价格。（可为平台截图，需看产品ID,否则视为非挂网产品）。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8.其他证明材料：包括</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医保药物、国家基本药物、原研药、国家谈判药物、集中带量采购药物、新药、专利药、儿童用药、通过仿制药一致性评价等，请提供证明材料;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临床应用资料、临床前及临床药理、药代、毒理、药品不良反应及配伍禁忌等资料。中药保护品种的要提供证书复印件和专业期刊发表的临床研究报告等;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清远市第三人民医院药品引进申请企业相关人员廉洁协议（附件4）;</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11.承诺书（附件5）;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药品生产企业盖章的委托函;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13.</w:t>
      </w:r>
      <w:r>
        <w:rPr>
          <w:rFonts w:hint="eastAsia" w:ascii="仿宋_GB2312" w:hAnsi="仿宋_GB2312" w:eastAsia="仿宋_GB2312" w:cs="仿宋_GB2312"/>
          <w:sz w:val="32"/>
          <w:szCs w:val="32"/>
        </w:rPr>
        <w:t>医药代表法人授权委托书，医药代表身份证明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14.产品介绍不超过5张的PPT，内容重点说明申请理由，申请药品在疗效、安全性、性价比等方面与我院现有药品的区别，该品种有何优势</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（一）医药代表应按附件2要求，真实、准确、规范地填写申报相关资料，否则将按无效资料处理。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资料1-13项只接受加盖公章的PDF文档，14项PPT不可当天修改；资料需按照附件2顺序整理，命名格式为“药品分类-药品通用名”，附件为“序号-药品分类-药品通用名-附件名”命名；（例：1-抗抑郁药物-氟伏沙明-清远市第三人民医院药品引进申请表），通过电子邮件发送到电子邮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instrText xml:space="preserve"> HYPERLINK "mailto:qysdsrmyyywk@126.com" </w:instrTex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qysdsrmyyywk@126.com</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（三）资料应一次性交齐，重复提交以最后一次为准，并注明情况以防漏收。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TUxYzcwMjQ1OTUwNzkzYTQzZmExNTQ2OGM1ZjIifQ=="/>
  </w:docVars>
  <w:rsids>
    <w:rsidRoot w:val="00000000"/>
    <w:rsid w:val="06A4058D"/>
    <w:rsid w:val="1AE735AE"/>
    <w:rsid w:val="35D33907"/>
    <w:rsid w:val="452752FA"/>
    <w:rsid w:val="55734914"/>
    <w:rsid w:val="60675D31"/>
    <w:rsid w:val="63AF0D1C"/>
    <w:rsid w:val="7C5D0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99"/>
    <w:pPr>
      <w:ind w:firstLine="420" w:firstLineChars="200"/>
    </w:pPr>
    <w:rPr>
      <w:rFonts w:ascii="Times New Roman" w:hAnsi="Times New Roman" w:cs="Times New Roman"/>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2024-02-21T07:36:00Z</dcterms:created>
  <dc:creator>Administrator</dc:creator>
  <cp:lastModifiedBy>邓爱萍</cp:lastModifiedBy>
  <dcterms:modified xsi:type="dcterms:W3CDTF">2025-01-13T03:17:29Z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56DFDA7206F146ACB1F0A0B123CEDE66</vt:lpwstr>
  </property>
</Properties>
</file>